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6A" w14:textId="77777777" w:rsidR="00E27BAA" w:rsidRDefault="00E27BAA" w:rsidP="00E27BAA">
      <w:bookmarkStart w:id="0" w:name="_GoBack"/>
      <w:bookmarkEnd w:id="0"/>
    </w:p>
    <w:p w14:paraId="3363DA2E" w14:textId="77777777" w:rsidR="00E27BAA" w:rsidRDefault="00E27BAA" w:rsidP="00E27BAA"/>
    <w:p w14:paraId="18B5D521" w14:textId="77777777" w:rsidR="00E27BAA" w:rsidRDefault="00E27BAA" w:rsidP="00E27BAA"/>
    <w:p w14:paraId="12BE123B" w14:textId="77777777" w:rsidR="00E27BAA" w:rsidRDefault="00E27BAA" w:rsidP="00E27BAA"/>
    <w:p w14:paraId="20CE209A" w14:textId="77777777" w:rsidR="00E27BAA" w:rsidRDefault="00E27BAA" w:rsidP="00E27BAA"/>
    <w:p w14:paraId="1EC56C25" w14:textId="77777777" w:rsidR="00E27BAA" w:rsidRDefault="00E27BAA" w:rsidP="00E27BAA"/>
    <w:p w14:paraId="16D283C3" w14:textId="77777777" w:rsidR="00E27BAA" w:rsidRDefault="00E27BAA" w:rsidP="00E27BAA"/>
    <w:p w14:paraId="4BAE9B8A" w14:textId="1732CCAA" w:rsidR="004F1D61" w:rsidRPr="00CE12B7" w:rsidRDefault="00CE12B7" w:rsidP="00CE12B7">
      <w:pPr>
        <w:ind w:left="720" w:firstLine="720"/>
        <w:rPr>
          <w:rFonts w:ascii="Arial" w:hAnsi="Arial" w:cs="Arial"/>
          <w:b/>
          <w:sz w:val="18"/>
          <w:szCs w:val="18"/>
          <w:u w:val="single"/>
        </w:rPr>
      </w:pPr>
      <w:r w:rsidRPr="00CE12B7">
        <w:rPr>
          <w:rFonts w:ascii="Arial" w:hAnsi="Arial" w:cs="Arial"/>
          <w:b/>
          <w:sz w:val="18"/>
          <w:szCs w:val="18"/>
          <w:u w:val="single"/>
        </w:rPr>
        <w:t>‘</w:t>
      </w:r>
      <w:proofErr w:type="spellStart"/>
      <w:r w:rsidRPr="00CE12B7">
        <w:rPr>
          <w:rFonts w:ascii="Arial" w:hAnsi="Arial" w:cs="Arial"/>
          <w:b/>
          <w:sz w:val="18"/>
          <w:szCs w:val="18"/>
          <w:u w:val="single"/>
        </w:rPr>
        <w:t>Clydach</w:t>
      </w:r>
      <w:proofErr w:type="spellEnd"/>
      <w:r w:rsidRPr="00CE12B7">
        <w:rPr>
          <w:rFonts w:ascii="Arial" w:hAnsi="Arial" w:cs="Arial"/>
          <w:b/>
          <w:sz w:val="18"/>
          <w:szCs w:val="18"/>
          <w:u w:val="single"/>
        </w:rPr>
        <w:t xml:space="preserve"> Murders’ – South Wales Police Statement.  January 19</w:t>
      </w:r>
      <w:r w:rsidRPr="00CE12B7">
        <w:rPr>
          <w:rFonts w:ascii="Arial" w:hAnsi="Arial" w:cs="Arial"/>
          <w:b/>
          <w:sz w:val="18"/>
          <w:szCs w:val="18"/>
          <w:u w:val="single"/>
          <w:vertAlign w:val="superscript"/>
        </w:rPr>
        <w:t>th</w:t>
      </w:r>
      <w:r w:rsidRPr="00CE12B7">
        <w:rPr>
          <w:rFonts w:ascii="Arial" w:hAnsi="Arial" w:cs="Arial"/>
          <w:b/>
          <w:sz w:val="18"/>
          <w:szCs w:val="18"/>
          <w:u w:val="single"/>
        </w:rPr>
        <w:t xml:space="preserve"> 2021.</w:t>
      </w:r>
    </w:p>
    <w:p w14:paraId="19BCC4BC" w14:textId="77777777" w:rsidR="00CE12B7" w:rsidRDefault="00CE12B7" w:rsidP="00CE12B7">
      <w:pPr>
        <w:rPr>
          <w:rFonts w:ascii="Arial" w:hAnsi="Arial" w:cs="Arial"/>
          <w:sz w:val="18"/>
          <w:szCs w:val="18"/>
        </w:rPr>
      </w:pPr>
    </w:p>
    <w:p w14:paraId="2E3D8C34" w14:textId="123516EA" w:rsidR="00CE12B7" w:rsidRPr="00CE12B7" w:rsidRDefault="00CE12B7" w:rsidP="00CE12B7">
      <w:pPr>
        <w:rPr>
          <w:rFonts w:ascii="Arial" w:hAnsi="Arial" w:cs="Arial"/>
          <w:b/>
          <w:sz w:val="18"/>
          <w:szCs w:val="18"/>
        </w:rPr>
      </w:pPr>
      <w:r w:rsidRPr="00CE12B7">
        <w:rPr>
          <w:rFonts w:ascii="Arial" w:hAnsi="Arial" w:cs="Arial"/>
          <w:b/>
          <w:sz w:val="18"/>
          <w:szCs w:val="18"/>
        </w:rPr>
        <w:t>(START)</w:t>
      </w:r>
    </w:p>
    <w:p w14:paraId="7121BB8D" w14:textId="60D2CDFC" w:rsidR="00CE12B7" w:rsidRPr="00CE12B7" w:rsidRDefault="00CE12B7" w:rsidP="00CE12B7">
      <w:pPr>
        <w:rPr>
          <w:rFonts w:ascii="Arial" w:hAnsi="Arial" w:cs="Arial"/>
          <w:sz w:val="18"/>
          <w:szCs w:val="18"/>
        </w:rPr>
      </w:pPr>
      <w:r w:rsidRPr="00CE12B7">
        <w:rPr>
          <w:rFonts w:ascii="Arial" w:hAnsi="Arial" w:cs="Arial"/>
          <w:sz w:val="18"/>
          <w:szCs w:val="18"/>
        </w:rPr>
        <w:t xml:space="preserve">South Wales Police carried out an extensive investigation into the deaths of Mandy Power, her two daughters Katie and Emily and her mother Doris Dawson in </w:t>
      </w:r>
      <w:proofErr w:type="spellStart"/>
      <w:r w:rsidRPr="00CE12B7">
        <w:rPr>
          <w:rFonts w:ascii="Arial" w:hAnsi="Arial" w:cs="Arial"/>
          <w:sz w:val="18"/>
          <w:szCs w:val="18"/>
        </w:rPr>
        <w:t>Clydach</w:t>
      </w:r>
      <w:proofErr w:type="spellEnd"/>
      <w:r w:rsidRPr="00CE12B7">
        <w:rPr>
          <w:rFonts w:ascii="Arial" w:hAnsi="Arial" w:cs="Arial"/>
          <w:sz w:val="18"/>
          <w:szCs w:val="18"/>
        </w:rPr>
        <w:t xml:space="preserve"> in 1999.</w:t>
      </w:r>
    </w:p>
    <w:p w14:paraId="362516B8" w14:textId="77777777" w:rsidR="00CE12B7" w:rsidRPr="00CE12B7" w:rsidRDefault="00CE12B7" w:rsidP="00CE12B7">
      <w:pPr>
        <w:rPr>
          <w:rFonts w:ascii="Arial" w:hAnsi="Arial" w:cs="Arial"/>
          <w:sz w:val="18"/>
          <w:szCs w:val="18"/>
        </w:rPr>
      </w:pPr>
    </w:p>
    <w:p w14:paraId="47E56C7B" w14:textId="77777777" w:rsidR="00CE12B7" w:rsidRPr="00CE12B7" w:rsidRDefault="00CE12B7" w:rsidP="00CE12B7">
      <w:pPr>
        <w:rPr>
          <w:rFonts w:ascii="Arial" w:hAnsi="Arial" w:cs="Arial"/>
          <w:sz w:val="18"/>
          <w:szCs w:val="18"/>
        </w:rPr>
      </w:pPr>
      <w:r w:rsidRPr="00CE12B7">
        <w:rPr>
          <w:rFonts w:ascii="Arial" w:hAnsi="Arial" w:cs="Arial"/>
          <w:sz w:val="18"/>
          <w:szCs w:val="18"/>
        </w:rPr>
        <w:t>The scale of this murder investigation was the largest and most complex ever undertaken by a Welsh police force and involved the taking of over 4,500 statements, 1,500 messages from members of the public to the incident room, almost 2,000 homes visited and over 3,700 exhibits seized for examination.</w:t>
      </w:r>
    </w:p>
    <w:p w14:paraId="477F8A24" w14:textId="77777777" w:rsidR="00CE12B7" w:rsidRPr="00CE12B7" w:rsidRDefault="00CE12B7" w:rsidP="00CE12B7">
      <w:pPr>
        <w:rPr>
          <w:rFonts w:ascii="Arial" w:hAnsi="Arial" w:cs="Arial"/>
          <w:sz w:val="18"/>
          <w:szCs w:val="18"/>
        </w:rPr>
      </w:pPr>
    </w:p>
    <w:p w14:paraId="02E370A8" w14:textId="77777777" w:rsidR="00CE12B7" w:rsidRPr="00CE12B7" w:rsidRDefault="00CE12B7" w:rsidP="00CE12B7">
      <w:pPr>
        <w:rPr>
          <w:rFonts w:ascii="Arial" w:hAnsi="Arial" w:cs="Arial"/>
          <w:sz w:val="18"/>
          <w:szCs w:val="18"/>
        </w:rPr>
      </w:pPr>
      <w:r w:rsidRPr="00CE12B7">
        <w:rPr>
          <w:rFonts w:ascii="Arial" w:hAnsi="Arial" w:cs="Arial"/>
          <w:sz w:val="18"/>
          <w:szCs w:val="18"/>
        </w:rPr>
        <w:t>In 2002, David Morris was convicted of the murders by a unanimous verdict at Swansea Crown Court. His conviction was overturned on appeal.</w:t>
      </w:r>
    </w:p>
    <w:p w14:paraId="6A658DE2" w14:textId="77777777" w:rsidR="00CE12B7" w:rsidRPr="00CE12B7" w:rsidRDefault="00CE12B7" w:rsidP="00CE12B7">
      <w:pPr>
        <w:rPr>
          <w:rFonts w:ascii="Arial" w:hAnsi="Arial" w:cs="Arial"/>
          <w:sz w:val="18"/>
          <w:szCs w:val="18"/>
        </w:rPr>
      </w:pPr>
    </w:p>
    <w:p w14:paraId="5501016D" w14:textId="77777777" w:rsidR="00CE12B7" w:rsidRPr="00CE12B7" w:rsidRDefault="00CE12B7" w:rsidP="00CE12B7">
      <w:pPr>
        <w:rPr>
          <w:rFonts w:ascii="Arial" w:hAnsi="Arial" w:cs="Arial"/>
          <w:sz w:val="18"/>
          <w:szCs w:val="18"/>
        </w:rPr>
      </w:pPr>
      <w:r w:rsidRPr="00CE12B7">
        <w:rPr>
          <w:rFonts w:ascii="Arial" w:hAnsi="Arial" w:cs="Arial"/>
          <w:sz w:val="18"/>
          <w:szCs w:val="18"/>
        </w:rPr>
        <w:t>A retrial was held at Newport Crown Court in 2006 and Morris was convicted for a second time. He was sentenced to life imprisonment.</w:t>
      </w:r>
    </w:p>
    <w:p w14:paraId="22A099C7" w14:textId="77777777" w:rsidR="00CE12B7" w:rsidRPr="00CE12B7" w:rsidRDefault="00CE12B7" w:rsidP="00CE12B7">
      <w:pPr>
        <w:rPr>
          <w:rFonts w:ascii="Arial" w:hAnsi="Arial" w:cs="Arial"/>
          <w:sz w:val="18"/>
          <w:szCs w:val="18"/>
        </w:rPr>
      </w:pPr>
    </w:p>
    <w:p w14:paraId="06381F58" w14:textId="77777777" w:rsidR="00CE12B7" w:rsidRPr="00CE12B7" w:rsidRDefault="00CE12B7" w:rsidP="00CE12B7">
      <w:pPr>
        <w:rPr>
          <w:rFonts w:ascii="Arial" w:hAnsi="Arial" w:cs="Arial"/>
          <w:sz w:val="18"/>
          <w:szCs w:val="18"/>
        </w:rPr>
      </w:pPr>
      <w:r w:rsidRPr="00CE12B7">
        <w:rPr>
          <w:rFonts w:ascii="Arial" w:hAnsi="Arial" w:cs="Arial"/>
          <w:sz w:val="18"/>
          <w:szCs w:val="18"/>
        </w:rPr>
        <w:t>The matter has been considered by the Criminal Cases Review Commission as recently as 2018. Following a thorough review of the case material they decided not to refer it to the Court of Appeal.</w:t>
      </w:r>
    </w:p>
    <w:p w14:paraId="3217215A" w14:textId="77777777" w:rsidR="00CE12B7" w:rsidRPr="00CE12B7" w:rsidRDefault="00CE12B7" w:rsidP="00CE12B7">
      <w:pPr>
        <w:rPr>
          <w:rFonts w:ascii="Arial" w:hAnsi="Arial" w:cs="Arial"/>
          <w:sz w:val="18"/>
          <w:szCs w:val="18"/>
        </w:rPr>
      </w:pPr>
    </w:p>
    <w:p w14:paraId="3C673DE1" w14:textId="77777777" w:rsidR="00CE12B7" w:rsidRPr="00CE12B7" w:rsidRDefault="00CE12B7" w:rsidP="00CE12B7">
      <w:pPr>
        <w:rPr>
          <w:rFonts w:ascii="Arial" w:hAnsi="Arial" w:cs="Arial"/>
          <w:sz w:val="18"/>
          <w:szCs w:val="18"/>
        </w:rPr>
      </w:pPr>
      <w:r w:rsidRPr="00CE12B7">
        <w:rPr>
          <w:rFonts w:ascii="Arial" w:hAnsi="Arial" w:cs="Arial"/>
          <w:sz w:val="18"/>
          <w:szCs w:val="18"/>
        </w:rPr>
        <w:t xml:space="preserve">In November 2020, legal representatives of David Morris contacted South Wales Police requesting the release of various exhibits from the investigation for further assessment by their forensic scientists. </w:t>
      </w:r>
    </w:p>
    <w:p w14:paraId="5FBDC5D1" w14:textId="77777777" w:rsidR="00CE12B7" w:rsidRPr="00CE12B7" w:rsidRDefault="00CE12B7" w:rsidP="00CE12B7">
      <w:pPr>
        <w:rPr>
          <w:rFonts w:ascii="Arial" w:hAnsi="Arial" w:cs="Arial"/>
          <w:sz w:val="18"/>
          <w:szCs w:val="18"/>
        </w:rPr>
      </w:pPr>
    </w:p>
    <w:p w14:paraId="0E5ABE0B" w14:textId="77777777" w:rsidR="00CE12B7" w:rsidRPr="00CE12B7" w:rsidRDefault="00CE12B7" w:rsidP="00CE12B7">
      <w:pPr>
        <w:rPr>
          <w:rFonts w:ascii="Arial" w:hAnsi="Arial" w:cs="Arial"/>
          <w:sz w:val="18"/>
          <w:szCs w:val="18"/>
        </w:rPr>
      </w:pPr>
      <w:r w:rsidRPr="00CE12B7">
        <w:rPr>
          <w:rFonts w:ascii="Arial" w:hAnsi="Arial" w:cs="Arial"/>
          <w:sz w:val="18"/>
          <w:szCs w:val="18"/>
        </w:rPr>
        <w:t>This request has been the subject of careful consideration and the force has decided on a proportionate course of action which will involve the appointment of an independent senior investigating officer and an independent forensic scientist to oversee a forensic review of the specific areas referred to by Morris’ legal representatives.</w:t>
      </w:r>
    </w:p>
    <w:p w14:paraId="4A395AAD" w14:textId="77777777" w:rsidR="00CE12B7" w:rsidRPr="00CE12B7" w:rsidRDefault="00CE12B7" w:rsidP="00CE12B7">
      <w:pPr>
        <w:rPr>
          <w:rFonts w:ascii="Arial" w:hAnsi="Arial" w:cs="Arial"/>
          <w:sz w:val="18"/>
          <w:szCs w:val="18"/>
        </w:rPr>
      </w:pPr>
    </w:p>
    <w:p w14:paraId="15587EE9" w14:textId="77777777" w:rsidR="00CE12B7" w:rsidRPr="00CE12B7" w:rsidRDefault="00CE12B7" w:rsidP="00CE12B7">
      <w:pPr>
        <w:rPr>
          <w:rFonts w:ascii="Arial" w:hAnsi="Arial" w:cs="Arial"/>
          <w:sz w:val="18"/>
          <w:szCs w:val="18"/>
        </w:rPr>
      </w:pPr>
      <w:r w:rsidRPr="00CE12B7">
        <w:rPr>
          <w:rFonts w:ascii="Arial" w:hAnsi="Arial" w:cs="Arial"/>
          <w:sz w:val="18"/>
          <w:szCs w:val="18"/>
        </w:rPr>
        <w:t>The decision to carry out a forensic review does not constitute a reopening or reinvestigation of the murders, nor does it demonstrate any lack of confidence in the conviction of Morris and the subsequent case reviews. Morris was convicted unanimously by a jury on the strength of the prosecution case and independent reviews by the Criminal Cases Review Commission have not identified any new evidence.</w:t>
      </w:r>
    </w:p>
    <w:p w14:paraId="7F095EDF" w14:textId="77777777" w:rsidR="00CE12B7" w:rsidRPr="00CE12B7" w:rsidRDefault="00CE12B7" w:rsidP="00CE12B7">
      <w:pPr>
        <w:rPr>
          <w:rFonts w:ascii="Arial" w:hAnsi="Arial" w:cs="Arial"/>
          <w:sz w:val="18"/>
          <w:szCs w:val="18"/>
        </w:rPr>
      </w:pPr>
    </w:p>
    <w:p w14:paraId="258993FD" w14:textId="77777777" w:rsidR="00CE12B7" w:rsidRPr="00CE12B7" w:rsidRDefault="00CE12B7" w:rsidP="00CE12B7">
      <w:pPr>
        <w:rPr>
          <w:rFonts w:ascii="Arial" w:hAnsi="Arial" w:cs="Arial"/>
          <w:sz w:val="18"/>
          <w:szCs w:val="18"/>
        </w:rPr>
      </w:pPr>
      <w:r w:rsidRPr="00CE12B7">
        <w:rPr>
          <w:rFonts w:ascii="Arial" w:hAnsi="Arial" w:cs="Arial"/>
          <w:sz w:val="18"/>
          <w:szCs w:val="18"/>
        </w:rPr>
        <w:t>Due to the advancement of forensic technology we may now be in a position to answer some of the questions which have been raised about forensic issues in this case. The appointment of an independent senior investigating officer from an outside force and an independent forensic scientist will ensure the review is conducted with a layer of independence.</w:t>
      </w:r>
    </w:p>
    <w:p w14:paraId="29FF17DE" w14:textId="77777777" w:rsidR="00CE12B7" w:rsidRPr="00CE12B7" w:rsidRDefault="00CE12B7" w:rsidP="00CE12B7">
      <w:pPr>
        <w:rPr>
          <w:rFonts w:ascii="Arial" w:hAnsi="Arial" w:cs="Arial"/>
          <w:sz w:val="18"/>
          <w:szCs w:val="18"/>
        </w:rPr>
      </w:pPr>
    </w:p>
    <w:p w14:paraId="3A437A03" w14:textId="77777777" w:rsidR="00CE12B7" w:rsidRPr="00CE12B7" w:rsidRDefault="00CE12B7" w:rsidP="00CE12B7">
      <w:pPr>
        <w:rPr>
          <w:rFonts w:ascii="Arial" w:hAnsi="Arial" w:cs="Arial"/>
          <w:sz w:val="18"/>
          <w:szCs w:val="18"/>
        </w:rPr>
      </w:pPr>
      <w:r w:rsidRPr="00CE12B7">
        <w:rPr>
          <w:rFonts w:ascii="Arial" w:hAnsi="Arial" w:cs="Arial"/>
          <w:sz w:val="18"/>
          <w:szCs w:val="18"/>
        </w:rPr>
        <w:t>Their role will be to provide South Wales Police with recommendations based on their findings.</w:t>
      </w:r>
    </w:p>
    <w:p w14:paraId="49ACA12D" w14:textId="77777777" w:rsidR="00CE12B7" w:rsidRPr="00CE12B7" w:rsidRDefault="00CE12B7" w:rsidP="00CE12B7">
      <w:pPr>
        <w:rPr>
          <w:rFonts w:ascii="Arial" w:hAnsi="Arial" w:cs="Arial"/>
          <w:sz w:val="18"/>
          <w:szCs w:val="18"/>
        </w:rPr>
      </w:pPr>
    </w:p>
    <w:p w14:paraId="7EB01E40" w14:textId="77777777" w:rsidR="00CE12B7" w:rsidRPr="00CE12B7" w:rsidRDefault="00CE12B7" w:rsidP="00CE12B7">
      <w:pPr>
        <w:rPr>
          <w:rFonts w:ascii="Arial" w:hAnsi="Arial" w:cs="Arial"/>
          <w:sz w:val="18"/>
          <w:szCs w:val="18"/>
        </w:rPr>
      </w:pPr>
      <w:r w:rsidRPr="00CE12B7">
        <w:rPr>
          <w:rFonts w:ascii="Arial" w:hAnsi="Arial" w:cs="Arial"/>
          <w:sz w:val="18"/>
          <w:szCs w:val="18"/>
        </w:rPr>
        <w:t xml:space="preserve">As part of this process, South Wales Police will also be requesting material which has previously been </w:t>
      </w:r>
      <w:proofErr w:type="gramStart"/>
      <w:r w:rsidRPr="00CE12B7">
        <w:rPr>
          <w:rFonts w:ascii="Arial" w:hAnsi="Arial" w:cs="Arial"/>
          <w:sz w:val="18"/>
          <w:szCs w:val="18"/>
        </w:rPr>
        <w:t>forensically</w:t>
      </w:r>
      <w:proofErr w:type="gramEnd"/>
      <w:r w:rsidRPr="00CE12B7">
        <w:rPr>
          <w:rFonts w:ascii="Arial" w:hAnsi="Arial" w:cs="Arial"/>
          <w:sz w:val="18"/>
          <w:szCs w:val="18"/>
        </w:rPr>
        <w:t xml:space="preserve"> examined by the Criminal Cases Review Commission during its reviews.</w:t>
      </w:r>
    </w:p>
    <w:p w14:paraId="45857476" w14:textId="77777777" w:rsidR="00CE12B7" w:rsidRPr="00CE12B7" w:rsidRDefault="00CE12B7" w:rsidP="00CE12B7">
      <w:pPr>
        <w:rPr>
          <w:rFonts w:ascii="Arial" w:hAnsi="Arial" w:cs="Arial"/>
          <w:sz w:val="18"/>
          <w:szCs w:val="18"/>
        </w:rPr>
      </w:pPr>
    </w:p>
    <w:p w14:paraId="2BD1AC68" w14:textId="77777777" w:rsidR="00CE12B7" w:rsidRPr="00CE12B7" w:rsidRDefault="00CE12B7" w:rsidP="00CE12B7">
      <w:pPr>
        <w:rPr>
          <w:rFonts w:ascii="Arial" w:hAnsi="Arial" w:cs="Arial"/>
          <w:sz w:val="18"/>
          <w:szCs w:val="18"/>
        </w:rPr>
      </w:pPr>
      <w:r w:rsidRPr="00CE12B7">
        <w:rPr>
          <w:rFonts w:ascii="Arial" w:hAnsi="Arial" w:cs="Arial"/>
          <w:sz w:val="18"/>
          <w:szCs w:val="18"/>
        </w:rPr>
        <w:t>We must remember the impact that the years of campaigning and questions being raised about the conviction of David Morris has had on the family of Doris Dawson, Mandy Power and her two young girls. Each newspaper article and social media post brings back the most painful memories so the reason for this decision is firmly in the hope that this forensic review will help them move on after more than 20 years since the loss of their loved ones and answer the questions posed by others once and for all. They have been informed of this decision and fully support the work which will be undertaken.</w:t>
      </w:r>
    </w:p>
    <w:p w14:paraId="0491E6DC" w14:textId="34E8206D" w:rsidR="004F1D61" w:rsidRDefault="00CE12B7" w:rsidP="00CE12B7">
      <w:pPr>
        <w:rPr>
          <w:rFonts w:ascii="Arial" w:hAnsi="Arial" w:cs="Arial"/>
          <w:sz w:val="18"/>
          <w:szCs w:val="18"/>
        </w:rPr>
      </w:pPr>
      <w:r w:rsidRPr="00CE12B7">
        <w:rPr>
          <w:rFonts w:ascii="Arial" w:hAnsi="Arial" w:cs="Arial"/>
          <w:sz w:val="18"/>
          <w:szCs w:val="18"/>
        </w:rPr>
        <w:t>Our thoughts remain with the families and those affected by this case and acknowledge the significant impact it continues to have on them.</w:t>
      </w:r>
    </w:p>
    <w:p w14:paraId="4830C253" w14:textId="7B1A8310" w:rsidR="00CE12B7" w:rsidRPr="00CE12B7" w:rsidRDefault="00CE12B7" w:rsidP="00CE12B7">
      <w:pPr>
        <w:rPr>
          <w:rFonts w:ascii="Arial" w:hAnsi="Arial" w:cs="Arial"/>
          <w:b/>
          <w:sz w:val="18"/>
          <w:szCs w:val="18"/>
        </w:rPr>
      </w:pPr>
      <w:r w:rsidRPr="00CE12B7">
        <w:rPr>
          <w:rFonts w:ascii="Arial" w:hAnsi="Arial" w:cs="Arial"/>
          <w:b/>
          <w:sz w:val="18"/>
          <w:szCs w:val="18"/>
        </w:rPr>
        <w:t>(END)</w:t>
      </w:r>
    </w:p>
    <w:sectPr w:rsidR="00CE12B7" w:rsidRPr="00CE12B7" w:rsidSect="00052E86">
      <w:headerReference w:type="even" r:id="rId7"/>
      <w:headerReference w:type="default" r:id="rId8"/>
      <w:footerReference w:type="even" r:id="rId9"/>
      <w:footerReference w:type="default" r:id="rId10"/>
      <w:headerReference w:type="first" r:id="rId11"/>
      <w:footerReference w:type="first" r:id="rId12"/>
      <w:pgSz w:w="11900" w:h="16840"/>
      <w:pgMar w:top="1440" w:right="1440" w:bottom="244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3694" w14:textId="77777777" w:rsidR="00B83971" w:rsidRDefault="00B83971" w:rsidP="00E27BAA">
      <w:r>
        <w:separator/>
      </w:r>
    </w:p>
  </w:endnote>
  <w:endnote w:type="continuationSeparator" w:id="0">
    <w:p w14:paraId="5BF82BDD" w14:textId="77777777" w:rsidR="00B83971" w:rsidRDefault="00B83971" w:rsidP="00E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F69F" w14:textId="1AFDC9F6" w:rsidR="00AF62F5" w:rsidRDefault="008D341A" w:rsidP="008D341A">
    <w:pPr>
      <w:pStyle w:val="Footer"/>
      <w:rPr>
        <w:color w:val="000000"/>
        <w:sz w:val="17"/>
      </w:rPr>
    </w:pPr>
    <w:bookmarkStart w:id="3" w:name="TITUS1FooterEvenPages"/>
    <w:r>
      <w:rPr>
        <w:color w:val="000000"/>
        <w:sz w:val="17"/>
      </w:rPr>
      <w:t> </w:t>
    </w:r>
  </w:p>
  <w:bookmarkEnd w:id="3"/>
  <w:p w14:paraId="699D53D2" w14:textId="13D5AFB9" w:rsidR="00AF62F5" w:rsidRDefault="00AF62F5" w:rsidP="00AF62F5">
    <w:pPr>
      <w:pStyle w:val="Footer"/>
    </w:pPr>
    <w:r w:rsidRPr="002D7C67">
      <w:rPr>
        <w:noProof/>
        <w:lang w:eastAsia="en-GB"/>
      </w:rPr>
      <w:drawing>
        <wp:anchor distT="0" distB="0" distL="114300" distR="114300" simplePos="0" relativeHeight="251669504" behindDoc="1" locked="1" layoutInCell="1" allowOverlap="0" wp14:anchorId="53A5911B" wp14:editId="11BC8F47">
          <wp:simplePos x="0" y="0"/>
          <wp:positionH relativeFrom="page">
            <wp:posOffset>174625</wp:posOffset>
          </wp:positionH>
          <wp:positionV relativeFrom="page">
            <wp:posOffset>9201150</wp:posOffset>
          </wp:positionV>
          <wp:extent cx="7189470" cy="132016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p w14:paraId="04BA7439" w14:textId="77777777" w:rsidR="00052E86" w:rsidRDefault="00052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627B" w14:textId="25FAE874" w:rsidR="00052E86" w:rsidRDefault="008D341A" w:rsidP="008D341A">
    <w:pPr>
      <w:pStyle w:val="Footer"/>
      <w:rPr>
        <w:color w:val="000000"/>
        <w:sz w:val="17"/>
      </w:rPr>
    </w:pPr>
    <w:bookmarkStart w:id="4" w:name="TITUS1FooterPrimary"/>
    <w:r>
      <w:rPr>
        <w:color w:val="000000"/>
        <w:sz w:val="17"/>
      </w:rPr>
      <w:t> </w:t>
    </w:r>
  </w:p>
  <w:bookmarkEnd w:id="4"/>
  <w:p w14:paraId="1F6F78C5" w14:textId="5901D6C0" w:rsidR="00E27BAA" w:rsidRDefault="00E27BAA">
    <w:pPr>
      <w:pStyle w:val="Footer"/>
    </w:pPr>
    <w:r w:rsidRPr="002D7C67">
      <w:rPr>
        <w:noProof/>
        <w:lang w:eastAsia="en-GB"/>
      </w:rPr>
      <w:drawing>
        <wp:anchor distT="0" distB="0" distL="114300" distR="114300" simplePos="0" relativeHeight="251667456" behindDoc="1" locked="1" layoutInCell="1" allowOverlap="0" wp14:anchorId="1B212329" wp14:editId="04AA58C0">
          <wp:simplePos x="0" y="0"/>
          <wp:positionH relativeFrom="page">
            <wp:posOffset>174625</wp:posOffset>
          </wp:positionH>
          <wp:positionV relativeFrom="page">
            <wp:posOffset>9201150</wp:posOffset>
          </wp:positionV>
          <wp:extent cx="7189470" cy="1320165"/>
          <wp:effectExtent l="0" t="0" r="0" b="635"/>
          <wp:wrapNone/>
          <wp:docPr id="4" name="Picture 4"/>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89470" cy="1320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A886" w14:textId="69B59F5A" w:rsidR="00052E86" w:rsidRDefault="008D341A" w:rsidP="008D341A">
    <w:pPr>
      <w:pStyle w:val="Footer"/>
      <w:rPr>
        <w:color w:val="000000"/>
        <w:sz w:val="17"/>
      </w:rPr>
    </w:pPr>
    <w:bookmarkStart w:id="6" w:name="TITUS1FooterFirstPage"/>
    <w:r>
      <w:rPr>
        <w:color w:val="000000"/>
        <w:sz w:val="17"/>
      </w:rPr>
      <w:t> </w:t>
    </w:r>
  </w:p>
  <w:bookmarkEnd w:id="6"/>
  <w:p w14:paraId="2FBA3D18" w14:textId="00096A6E" w:rsidR="00E27BAA" w:rsidRDefault="00E27BAA">
    <w:pPr>
      <w:pStyle w:val="Footer"/>
    </w:pPr>
    <w:r w:rsidRPr="002D7C67">
      <w:rPr>
        <w:noProof/>
        <w:lang w:eastAsia="en-GB"/>
      </w:rPr>
      <w:drawing>
        <wp:anchor distT="0" distB="0" distL="114300" distR="114300" simplePos="0" relativeHeight="251663360" behindDoc="1" locked="1" layoutInCell="1" allowOverlap="0" wp14:anchorId="6A77F3BF" wp14:editId="3FE9ABB5">
          <wp:simplePos x="0" y="0"/>
          <wp:positionH relativeFrom="page">
            <wp:posOffset>174625</wp:posOffset>
          </wp:positionH>
          <wp:positionV relativeFrom="page">
            <wp:posOffset>9201785</wp:posOffset>
          </wp:positionV>
          <wp:extent cx="7192800" cy="132077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 name="Picture 10047"/>
                  <pic:cNvPicPr/>
                </pic:nvPicPr>
                <pic:blipFill>
                  <a:blip r:embed="rId1"/>
                  <a:stretch>
                    <a:fillRect/>
                  </a:stretch>
                </pic:blipFill>
                <pic:spPr>
                  <a:xfrm>
                    <a:off x="0" y="0"/>
                    <a:ext cx="7192800" cy="13207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DED7" w14:textId="77777777" w:rsidR="00B83971" w:rsidRDefault="00B83971" w:rsidP="00E27BAA">
      <w:r>
        <w:separator/>
      </w:r>
    </w:p>
  </w:footnote>
  <w:footnote w:type="continuationSeparator" w:id="0">
    <w:p w14:paraId="0D89F648" w14:textId="77777777" w:rsidR="00B83971" w:rsidRDefault="00B83971" w:rsidP="00E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87E6" w14:textId="7C6A329E" w:rsidR="00AF62F5" w:rsidRDefault="008D341A" w:rsidP="008D341A">
    <w:pPr>
      <w:pStyle w:val="Header"/>
      <w:rPr>
        <w:color w:val="000000"/>
        <w:sz w:val="17"/>
      </w:rPr>
    </w:pPr>
    <w:bookmarkStart w:id="1" w:name="TITUS1HeaderEvenPages"/>
    <w:r>
      <w:rPr>
        <w:color w:val="000000"/>
        <w:sz w:val="17"/>
      </w:rPr>
      <w:t> </w:t>
    </w:r>
  </w:p>
  <w:bookmarkEnd w:id="1"/>
  <w:p w14:paraId="40A1A221" w14:textId="77777777" w:rsidR="00AF62F5" w:rsidRDefault="00AF62F5" w:rsidP="00AF62F5">
    <w:pPr>
      <w:pStyle w:val="Header"/>
    </w:pPr>
  </w:p>
  <w:p w14:paraId="0ED9826E" w14:textId="77777777" w:rsidR="00052E86" w:rsidRDefault="00052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6247" w14:textId="3B8B8E06" w:rsidR="00052E86" w:rsidRDefault="008D341A" w:rsidP="008D341A">
    <w:pPr>
      <w:pStyle w:val="Header"/>
      <w:rPr>
        <w:color w:val="000000"/>
        <w:sz w:val="17"/>
      </w:rPr>
    </w:pPr>
    <w:bookmarkStart w:id="2" w:name="TITUS1HeaderPrimary"/>
    <w:r>
      <w:rPr>
        <w:color w:val="000000"/>
        <w:sz w:val="17"/>
      </w:rPr>
      <w:t> </w:t>
    </w:r>
  </w:p>
  <w:bookmarkEnd w:id="2"/>
  <w:p w14:paraId="41ECE7FC" w14:textId="77777777" w:rsidR="00052E86" w:rsidRDefault="00052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ACBD" w14:textId="394B9532" w:rsidR="00052E86" w:rsidRDefault="008D341A" w:rsidP="008D341A">
    <w:pPr>
      <w:pStyle w:val="Header"/>
      <w:rPr>
        <w:color w:val="000000"/>
        <w:sz w:val="17"/>
      </w:rPr>
    </w:pPr>
    <w:bookmarkStart w:id="5" w:name="TITUS1HeaderFirstPage"/>
    <w:r>
      <w:rPr>
        <w:color w:val="000000"/>
        <w:sz w:val="17"/>
      </w:rPr>
      <w:t> </w:t>
    </w:r>
  </w:p>
  <w:bookmarkEnd w:id="5"/>
  <w:p w14:paraId="4117D7BC" w14:textId="496D743A" w:rsidR="00E27BAA" w:rsidRDefault="00E27BAA">
    <w:pPr>
      <w:pStyle w:val="Header"/>
    </w:pPr>
    <w:r w:rsidRPr="002D7C67">
      <w:rPr>
        <w:noProof/>
        <w:lang w:eastAsia="en-GB"/>
      </w:rPr>
      <w:drawing>
        <wp:anchor distT="0" distB="0" distL="114300" distR="114300" simplePos="0" relativeHeight="251665408" behindDoc="1" locked="1" layoutInCell="1" allowOverlap="0" wp14:anchorId="6E620F34" wp14:editId="19F6D17A">
          <wp:simplePos x="0" y="0"/>
          <wp:positionH relativeFrom="page">
            <wp:posOffset>174625</wp:posOffset>
          </wp:positionH>
          <wp:positionV relativeFrom="page">
            <wp:posOffset>194310</wp:posOffset>
          </wp:positionV>
          <wp:extent cx="7192800" cy="17025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 name="Picture 10045"/>
                  <pic:cNvPicPr/>
                </pic:nvPicPr>
                <pic:blipFill>
                  <a:blip r:embed="rId1"/>
                  <a:stretch>
                    <a:fillRect/>
                  </a:stretch>
                </pic:blipFill>
                <pic:spPr>
                  <a:xfrm>
                    <a:off x="0" y="0"/>
                    <a:ext cx="7192800" cy="17025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AA"/>
    <w:rsid w:val="00052E86"/>
    <w:rsid w:val="00056ED0"/>
    <w:rsid w:val="00157618"/>
    <w:rsid w:val="001E4DA3"/>
    <w:rsid w:val="002F1015"/>
    <w:rsid w:val="003B1220"/>
    <w:rsid w:val="003E7C35"/>
    <w:rsid w:val="004F1D61"/>
    <w:rsid w:val="004F616A"/>
    <w:rsid w:val="00511DE6"/>
    <w:rsid w:val="00573DE1"/>
    <w:rsid w:val="006B48C8"/>
    <w:rsid w:val="00815362"/>
    <w:rsid w:val="008665E5"/>
    <w:rsid w:val="008C0F87"/>
    <w:rsid w:val="008D341A"/>
    <w:rsid w:val="00926EDB"/>
    <w:rsid w:val="00943E35"/>
    <w:rsid w:val="00A43E76"/>
    <w:rsid w:val="00AF62F5"/>
    <w:rsid w:val="00B2121A"/>
    <w:rsid w:val="00B83971"/>
    <w:rsid w:val="00B96823"/>
    <w:rsid w:val="00BB706E"/>
    <w:rsid w:val="00C4759F"/>
    <w:rsid w:val="00C510F3"/>
    <w:rsid w:val="00CE12B7"/>
    <w:rsid w:val="00E27BAA"/>
    <w:rsid w:val="00ED1F08"/>
    <w:rsid w:val="00F24398"/>
    <w:rsid w:val="00F8528B"/>
    <w:rsid w:val="00F90557"/>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0EA3B"/>
  <w15:chartTrackingRefBased/>
  <w15:docId w15:val="{46AC82C1-71DE-8644-8398-D3FECEA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7BA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7BA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AA"/>
    <w:pPr>
      <w:tabs>
        <w:tab w:val="center" w:pos="4680"/>
        <w:tab w:val="right" w:pos="9360"/>
      </w:tabs>
    </w:pPr>
  </w:style>
  <w:style w:type="character" w:customStyle="1" w:styleId="HeaderChar">
    <w:name w:val="Header Char"/>
    <w:basedOn w:val="DefaultParagraphFont"/>
    <w:link w:val="Header"/>
    <w:uiPriority w:val="99"/>
    <w:rsid w:val="00E27BAA"/>
  </w:style>
  <w:style w:type="paragraph" w:styleId="Footer">
    <w:name w:val="footer"/>
    <w:basedOn w:val="Normal"/>
    <w:link w:val="FooterChar"/>
    <w:uiPriority w:val="99"/>
    <w:unhideWhenUsed/>
    <w:rsid w:val="00E27BAA"/>
    <w:pPr>
      <w:tabs>
        <w:tab w:val="center" w:pos="4680"/>
        <w:tab w:val="right" w:pos="9360"/>
      </w:tabs>
    </w:pPr>
  </w:style>
  <w:style w:type="character" w:customStyle="1" w:styleId="FooterChar">
    <w:name w:val="Footer Char"/>
    <w:basedOn w:val="DefaultParagraphFont"/>
    <w:link w:val="Footer"/>
    <w:uiPriority w:val="99"/>
    <w:rsid w:val="00E27BAA"/>
  </w:style>
  <w:style w:type="character" w:customStyle="1" w:styleId="Heading2Char">
    <w:name w:val="Heading 2 Char"/>
    <w:basedOn w:val="DefaultParagraphFont"/>
    <w:link w:val="Heading2"/>
    <w:uiPriority w:val="9"/>
    <w:rsid w:val="00E27B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7BA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7B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7BAA"/>
    <w:rPr>
      <w:b/>
      <w:bCs/>
    </w:rPr>
  </w:style>
  <w:style w:type="character" w:styleId="Hyperlink">
    <w:name w:val="Hyperlink"/>
    <w:basedOn w:val="DefaultParagraphFont"/>
    <w:uiPriority w:val="99"/>
    <w:semiHidden/>
    <w:unhideWhenUsed/>
    <w:rsid w:val="00E27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2163">
      <w:bodyDiv w:val="1"/>
      <w:marLeft w:val="0"/>
      <w:marRight w:val="0"/>
      <w:marTop w:val="0"/>
      <w:marBottom w:val="0"/>
      <w:divBdr>
        <w:top w:val="none" w:sz="0" w:space="0" w:color="auto"/>
        <w:left w:val="none" w:sz="0" w:space="0" w:color="auto"/>
        <w:bottom w:val="none" w:sz="0" w:space="0" w:color="auto"/>
        <w:right w:val="none" w:sz="0" w:space="0" w:color="auto"/>
      </w:divBdr>
      <w:divsChild>
        <w:div w:id="327102424">
          <w:marLeft w:val="0"/>
          <w:marRight w:val="0"/>
          <w:marTop w:val="240"/>
          <w:marBottom w:val="84"/>
          <w:divBdr>
            <w:top w:val="none" w:sz="0" w:space="0" w:color="auto"/>
            <w:left w:val="none" w:sz="0" w:space="0" w:color="auto"/>
            <w:bottom w:val="none" w:sz="0" w:space="0" w:color="auto"/>
            <w:right w:val="none" w:sz="0" w:space="0" w:color="auto"/>
          </w:divBdr>
        </w:div>
        <w:div w:id="291863294">
          <w:marLeft w:val="0"/>
          <w:marRight w:val="0"/>
          <w:marTop w:val="240"/>
          <w:marBottom w:val="84"/>
          <w:divBdr>
            <w:top w:val="none" w:sz="0" w:space="0" w:color="auto"/>
            <w:left w:val="none" w:sz="0" w:space="0" w:color="auto"/>
            <w:bottom w:val="none" w:sz="0" w:space="0" w:color="auto"/>
            <w:right w:val="none" w:sz="0" w:space="0" w:color="auto"/>
          </w:divBdr>
        </w:div>
      </w:divsChild>
    </w:div>
    <w:div w:id="334698418">
      <w:bodyDiv w:val="1"/>
      <w:marLeft w:val="0"/>
      <w:marRight w:val="0"/>
      <w:marTop w:val="0"/>
      <w:marBottom w:val="0"/>
      <w:divBdr>
        <w:top w:val="none" w:sz="0" w:space="0" w:color="auto"/>
        <w:left w:val="none" w:sz="0" w:space="0" w:color="auto"/>
        <w:bottom w:val="none" w:sz="0" w:space="0" w:color="auto"/>
        <w:right w:val="none" w:sz="0" w:space="0" w:color="auto"/>
      </w:divBdr>
      <w:divsChild>
        <w:div w:id="769274461">
          <w:marLeft w:val="0"/>
          <w:marRight w:val="0"/>
          <w:marTop w:val="240"/>
          <w:marBottom w:val="84"/>
          <w:divBdr>
            <w:top w:val="none" w:sz="0" w:space="0" w:color="auto"/>
            <w:left w:val="none" w:sz="0" w:space="0" w:color="auto"/>
            <w:bottom w:val="none" w:sz="0" w:space="0" w:color="auto"/>
            <w:right w:val="none" w:sz="0" w:space="0" w:color="auto"/>
          </w:divBdr>
        </w:div>
        <w:div w:id="1031343966">
          <w:marLeft w:val="0"/>
          <w:marRight w:val="0"/>
          <w:marTop w:val="24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7C9D-A73A-4CAA-9FF1-E3FA1269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PRINTING</dc:creator>
  <cp:keywords/>
  <dc:description/>
  <cp:lastModifiedBy>Butt,David swp663</cp:lastModifiedBy>
  <cp:revision>2</cp:revision>
  <cp:lastPrinted>2020-11-09T14:34:00Z</cp:lastPrinted>
  <dcterms:created xsi:type="dcterms:W3CDTF">2021-01-19T09:41:00Z</dcterms:created>
  <dcterms:modified xsi:type="dcterms:W3CDTF">2021-01-19T09:41:00Z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502330d3-9805-4777-9d8c-4a0d75ee3a96</vt:lpwstr>
  </property>
  <property fmtid="{D5CDD505-2E9C-101B-9397-08002B2CF9AE}" pid="3" name="Classification">
    <vt:lpwstr>OFFICIAL</vt:lpwstr>
  </property>
  <property fmtid="{D5CDD505-2E9C-101B-9397-08002B2CF9AE}" pid="4" name="Visibility">
    <vt:lpwstr>NOT VISIBLE</vt:lpwstr>
  </property>
</Properties>
</file>